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8824" w14:textId="7176CFEF" w:rsidR="002C4C1B" w:rsidRDefault="00D57524" w:rsidP="00D05F4A">
      <w:pPr>
        <w:jc w:val="center"/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>One-year review of opioid prescribing</w:t>
      </w:r>
    </w:p>
    <w:p w14:paraId="51A07FEE" w14:textId="77777777" w:rsidR="002C2095" w:rsidRDefault="002C2095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0904E7B4" w14:textId="1E982AAB" w:rsidR="00D57524" w:rsidRDefault="00D57524" w:rsidP="00D57524">
      <w:pPr>
        <w:rPr>
          <w:rFonts w:cs="Arial"/>
          <w:color w:val="000000" w:themeColor="text1"/>
          <w:szCs w:val="20"/>
        </w:rPr>
      </w:pPr>
      <w:r w:rsidRPr="00D57524">
        <w:rPr>
          <w:rFonts w:cs="Arial"/>
          <w:color w:val="000000" w:themeColor="text1"/>
          <w:szCs w:val="20"/>
        </w:rPr>
        <w:t>If opioid therapy is required for longer than 12 months, the Pharmaceutical Benefits Scheme (PBS)</w:t>
      </w:r>
      <w:r>
        <w:rPr>
          <w:rFonts w:cs="Arial"/>
          <w:color w:val="000000" w:themeColor="text1"/>
          <w:szCs w:val="20"/>
        </w:rPr>
        <w:t xml:space="preserve"> </w:t>
      </w:r>
      <w:r w:rsidRPr="00D57524">
        <w:rPr>
          <w:rFonts w:cs="Arial"/>
          <w:color w:val="000000" w:themeColor="text1"/>
          <w:szCs w:val="20"/>
        </w:rPr>
        <w:t>requires clinical review of the case and support by a second medical practitioner. The standards required</w:t>
      </w:r>
      <w:r>
        <w:rPr>
          <w:rFonts w:cs="Arial"/>
          <w:color w:val="000000" w:themeColor="text1"/>
          <w:szCs w:val="20"/>
        </w:rPr>
        <w:t xml:space="preserve"> </w:t>
      </w:r>
      <w:r w:rsidRPr="00D57524">
        <w:rPr>
          <w:rFonts w:cs="Arial"/>
          <w:color w:val="000000" w:themeColor="text1"/>
          <w:szCs w:val="20"/>
        </w:rPr>
        <w:t>for evaluation for the PBS review have not been documented.</w:t>
      </w:r>
    </w:p>
    <w:p w14:paraId="24CEB24C" w14:textId="1C39AD13" w:rsidR="00907695" w:rsidRPr="00483679" w:rsidRDefault="00907695" w:rsidP="00D57524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63A9B7C3" w:rsidR="006D1284" w:rsidRPr="00FE7D88" w:rsidRDefault="000129E2" w:rsidP="00FE7D88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jc w:val="center"/>
        <w:rPr>
          <w:rFonts w:cs="Arial"/>
          <w:color w:val="auto"/>
          <w:sz w:val="36"/>
          <w:szCs w:val="24"/>
          <w:u w:val="single"/>
          <w:lang w:val="en-GB"/>
        </w:rPr>
      </w:pPr>
      <w:r w:rsidRPr="00FE7D88">
        <w:rPr>
          <w:rFonts w:cs="Arial"/>
          <w:color w:val="auto"/>
          <w:sz w:val="36"/>
          <w:szCs w:val="24"/>
          <w:u w:val="single"/>
          <w:lang w:val="en-GB"/>
        </w:rPr>
        <w:lastRenderedPageBreak/>
        <w:t>USQ Health Service</w:t>
      </w:r>
      <w:r w:rsidR="006D1284" w:rsidRPr="00FE7D88">
        <w:rPr>
          <w:rFonts w:cs="Arial"/>
          <w:color w:val="auto"/>
          <w:sz w:val="36"/>
          <w:szCs w:val="24"/>
          <w:u w:val="single"/>
          <w:lang w:val="en-GB"/>
        </w:rPr>
        <w:t xml:space="preserve"> </w:t>
      </w:r>
      <w:r w:rsidR="00D57524" w:rsidRPr="00FE7D88">
        <w:rPr>
          <w:rFonts w:cs="Arial"/>
          <w:color w:val="auto"/>
          <w:sz w:val="36"/>
          <w:szCs w:val="24"/>
          <w:u w:val="single"/>
          <w:lang w:val="en-GB"/>
        </w:rPr>
        <w:t>one-year review of opioid prescribing protocol</w:t>
      </w:r>
    </w:p>
    <w:p w14:paraId="3A59BF94" w14:textId="4F530D32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 w:rsidR="00FE7D88">
        <w:rPr>
          <w:i/>
          <w:color w:val="CF1D21"/>
          <w:sz w:val="22"/>
          <w:szCs w:val="22"/>
          <w:lang w:val="en-GB"/>
        </w:rPr>
        <w:t>September 2021</w:t>
      </w:r>
    </w:p>
    <w:p w14:paraId="20176AE8" w14:textId="77C17D38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</w:t>
      </w:r>
      <w:r w:rsidR="00FE7D88">
        <w:rPr>
          <w:i/>
          <w:color w:val="CF1D21"/>
          <w:sz w:val="22"/>
          <w:szCs w:val="22"/>
          <w:lang w:val="en-GB"/>
        </w:rPr>
        <w:t>1.0</w:t>
      </w:r>
    </w:p>
    <w:p w14:paraId="4550F6C3" w14:textId="43B274A4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 w:rsidR="00FE7D88">
        <w:rPr>
          <w:i/>
          <w:color w:val="CF1D21"/>
          <w:sz w:val="22"/>
          <w:szCs w:val="22"/>
          <w:lang w:val="en-GB"/>
        </w:rPr>
        <w:t>September 2023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456D88E4" w14:textId="77777777" w:rsidR="00D57524" w:rsidRPr="00D57524" w:rsidRDefault="00D57524" w:rsidP="00D57524">
      <w:pPr>
        <w:spacing w:after="0"/>
        <w:rPr>
          <w:rFonts w:cs="Arial"/>
          <w:bCs/>
        </w:rPr>
      </w:pPr>
      <w:r w:rsidRPr="00D57524">
        <w:rPr>
          <w:rFonts w:cs="Arial"/>
          <w:bCs/>
        </w:rPr>
        <w:t>If opioid therapy is required for longer than 12 months, the Pharmaceutical Benefits Scheme (PBS)</w:t>
      </w:r>
    </w:p>
    <w:p w14:paraId="4C1BED4A" w14:textId="6F96CBCD" w:rsidR="00D57524" w:rsidRDefault="00D57524" w:rsidP="00D57524">
      <w:pPr>
        <w:spacing w:after="0"/>
        <w:rPr>
          <w:rFonts w:cs="Arial"/>
          <w:bCs/>
        </w:rPr>
      </w:pPr>
      <w:r w:rsidRPr="00D57524">
        <w:rPr>
          <w:rFonts w:cs="Arial"/>
          <w:bCs/>
        </w:rPr>
        <w:t>requires clinical review of the case and support by a second medical practitioner. The standards required</w:t>
      </w:r>
      <w:r>
        <w:rPr>
          <w:rFonts w:cs="Arial"/>
          <w:bCs/>
        </w:rPr>
        <w:t xml:space="preserve"> </w:t>
      </w:r>
      <w:r w:rsidRPr="00D57524">
        <w:rPr>
          <w:rFonts w:cs="Arial"/>
          <w:bCs/>
        </w:rPr>
        <w:t xml:space="preserve">for evaluation for the PBS review have not been documented. This policy details a protocol that </w:t>
      </w:r>
      <w:r w:rsidR="00FE7D88">
        <w:rPr>
          <w:rFonts w:cs="Arial"/>
          <w:bCs/>
          <w:color w:val="FF0000"/>
        </w:rPr>
        <w:t xml:space="preserve">USQ Health Service </w:t>
      </w:r>
      <w:r w:rsidRPr="00D57524">
        <w:rPr>
          <w:rFonts w:cs="Arial"/>
          <w:bCs/>
        </w:rPr>
        <w:t>feels is appropriate to make an informed evaluation of long-term opioid therapy.</w:t>
      </w:r>
    </w:p>
    <w:p w14:paraId="4AE87A48" w14:textId="77777777" w:rsidR="00D57524" w:rsidRPr="00D57524" w:rsidRDefault="00D57524" w:rsidP="00D57524">
      <w:pPr>
        <w:spacing w:after="0"/>
        <w:rPr>
          <w:rFonts w:cs="Arial"/>
          <w:bCs/>
        </w:rPr>
      </w:pPr>
    </w:p>
    <w:p w14:paraId="6E9ACFA7" w14:textId="2199C3F1" w:rsidR="00553E97" w:rsidRPr="00D05F4A" w:rsidRDefault="00D05F4A" w:rsidP="00D57524">
      <w:pPr>
        <w:spacing w:after="0"/>
        <w:rPr>
          <w:rFonts w:cs="Arial"/>
          <w:b/>
        </w:rPr>
      </w:pPr>
      <w:r w:rsidRPr="00D05F4A">
        <w:rPr>
          <w:rFonts w:cs="Arial"/>
          <w:b/>
        </w:rPr>
        <w:t xml:space="preserve">Patient </w:t>
      </w:r>
      <w:proofErr w:type="gramStart"/>
      <w:r w:rsidRPr="00D05F4A">
        <w:rPr>
          <w:rFonts w:cs="Arial"/>
          <w:b/>
        </w:rPr>
        <w:t>Name:_</w:t>
      </w:r>
      <w:proofErr w:type="gramEnd"/>
      <w:r w:rsidRPr="00D05F4A">
        <w:rPr>
          <w:rFonts w:cs="Arial"/>
          <w:b/>
        </w:rPr>
        <w:t>__________________________ DOB:______________ Review date:___________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646"/>
        <w:gridCol w:w="715"/>
        <w:gridCol w:w="655"/>
      </w:tblGrid>
      <w:tr w:rsidR="00D57524" w14:paraId="66B7A2B9" w14:textId="77777777" w:rsidTr="00D57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11B086BB" w14:textId="60C7CDEA" w:rsidR="00D57524" w:rsidRPr="00D57524" w:rsidRDefault="00D57524" w:rsidP="006D1284">
            <w:pPr>
              <w:spacing w:after="0"/>
              <w:contextualSpacing/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</w:pPr>
            <w:r w:rsidRPr="00D57524"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  <w:t>Evaluation criteria</w:t>
            </w:r>
          </w:p>
        </w:tc>
        <w:tc>
          <w:tcPr>
            <w:tcW w:w="715" w:type="dxa"/>
          </w:tcPr>
          <w:p w14:paraId="3C2D6A8F" w14:textId="6FD21A44" w:rsidR="00D57524" w:rsidRPr="00D57524" w:rsidRDefault="00D57524" w:rsidP="006D1284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</w:pPr>
            <w:r w:rsidRPr="00D57524"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  <w:t>Yes</w:t>
            </w:r>
          </w:p>
        </w:tc>
        <w:tc>
          <w:tcPr>
            <w:tcW w:w="655" w:type="dxa"/>
          </w:tcPr>
          <w:p w14:paraId="355DB363" w14:textId="07B1090C" w:rsidR="00D57524" w:rsidRPr="00D57524" w:rsidRDefault="00D57524" w:rsidP="006D1284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</w:pPr>
            <w:r w:rsidRPr="00D57524">
              <w:rPr>
                <w:rFonts w:eastAsia="Times New Roman" w:cs="Arial"/>
                <w:color w:val="FFFFFF" w:themeColor="background1"/>
                <w:sz w:val="28"/>
                <w:szCs w:val="28"/>
                <w:lang w:val="en-GB" w:eastAsia="en-AU"/>
              </w:rPr>
              <w:t>No</w:t>
            </w:r>
          </w:p>
        </w:tc>
      </w:tr>
      <w:tr w:rsidR="00D57524" w14:paraId="073BF7FE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3E7AC748" w14:textId="642F82F6" w:rsidR="00D57524" w:rsidRPr="00D57524" w:rsidRDefault="00D57524" w:rsidP="006D1284">
            <w:pPr>
              <w:spacing w:after="0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Times New Roman" w:cs="Arial"/>
                <w:color w:val="auto"/>
                <w:szCs w:val="20"/>
                <w:lang w:val="en-GB" w:eastAsia="en-AU"/>
              </w:rPr>
              <w:t>1. Clinical diagnosis</w:t>
            </w:r>
          </w:p>
        </w:tc>
      </w:tr>
      <w:tr w:rsidR="00D57524" w14:paraId="082FFA2A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22A56ECB" w14:textId="20828CB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a) Is there a comprehensive documentation of the patient’s pain condition, general medical condition, psychosocial history, psychiatric status and substance use history?</w:t>
            </w:r>
          </w:p>
        </w:tc>
        <w:tc>
          <w:tcPr>
            <w:tcW w:w="715" w:type="dxa"/>
          </w:tcPr>
          <w:p w14:paraId="3F9818F8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4902B6EA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6F95F288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339CD7DA" w14:textId="6634387A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b) Is the indication/diagnosis for prescribing opioids clearly supported and documented?</w:t>
            </w:r>
          </w:p>
        </w:tc>
        <w:tc>
          <w:tcPr>
            <w:tcW w:w="715" w:type="dxa"/>
          </w:tcPr>
          <w:p w14:paraId="2311A1AF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76748818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409B369E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6686484F" w14:textId="6EF56B0C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c) Is opioid medication clinically appropriate in this condition?</w:t>
            </w:r>
          </w:p>
        </w:tc>
        <w:tc>
          <w:tcPr>
            <w:tcW w:w="715" w:type="dxa"/>
          </w:tcPr>
          <w:p w14:paraId="4890F71C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7C64C309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15F8DD05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7386D07A" w14:textId="191923BA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r w:rsidRPr="00D57524">
              <w:rPr>
                <w:rFonts w:cs="Arial"/>
                <w:color w:val="auto"/>
                <w:szCs w:val="20"/>
              </w:rPr>
              <w:t>2. Opioid treatment</w:t>
            </w:r>
          </w:p>
        </w:tc>
      </w:tr>
      <w:tr w:rsidR="00D57524" w14:paraId="2459C871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0743D6AC" w14:textId="52B59C21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a) Has opioid therapy produced and maintained a measurable improvement in the patient’s functional capacity?</w:t>
            </w:r>
          </w:p>
        </w:tc>
        <w:tc>
          <w:tcPr>
            <w:tcW w:w="715" w:type="dxa"/>
          </w:tcPr>
          <w:p w14:paraId="508F2D6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1FCD5C47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37A7897E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236B56D1" w14:textId="2AAA602E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b) Are the total doses of all opioids below ‘ceiling’ dose levels? (</w:t>
            </w:r>
            <w:proofErr w:type="spell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ie</w:t>
            </w:r>
            <w:proofErr w:type="spell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for </w:t>
            </w:r>
            <w:r w:rsidRPr="00D57524">
              <w:rPr>
                <w:rFonts w:eastAsia="HelveticaNeueLTStd-Lt" w:cs="Arial"/>
                <w:b w:val="0"/>
                <w:color w:val="FF0000"/>
                <w:szCs w:val="20"/>
              </w:rPr>
              <w:t>[</w:t>
            </w:r>
            <w:r w:rsidRPr="00D57524">
              <w:rPr>
                <w:rFonts w:eastAsia="HelveticaNeueLTStd-Lt" w:cs="Arial"/>
                <w:b w:val="0"/>
                <w:i/>
                <w:iCs/>
                <w:color w:val="FF0000"/>
                <w:szCs w:val="20"/>
              </w:rPr>
              <w:t>Insert practice name</w:t>
            </w:r>
            <w:r w:rsidRPr="00D57524">
              <w:rPr>
                <w:rFonts w:eastAsia="HelveticaNeueLTStd-Lt" w:cs="Arial"/>
                <w:b w:val="0"/>
                <w:color w:val="FF0000"/>
                <w:szCs w:val="20"/>
              </w:rPr>
              <w:t>]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80 mg morphine equivalent a day)</w:t>
            </w:r>
          </w:p>
        </w:tc>
        <w:tc>
          <w:tcPr>
            <w:tcW w:w="715" w:type="dxa"/>
          </w:tcPr>
          <w:p w14:paraId="67EE5981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3DEC91F0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4F3B43AA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5A1C7D67" w14:textId="7B699A84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c) Is the patient substantially free from adverse side effects of opioid therapy?</w:t>
            </w:r>
          </w:p>
        </w:tc>
        <w:tc>
          <w:tcPr>
            <w:tcW w:w="715" w:type="dxa"/>
          </w:tcPr>
          <w:p w14:paraId="1203B5B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335E99B3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18C2F596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623485B5" w14:textId="2BC55B5E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d) Is there continued absence of inappropriate dose escalation, aberrant behaviour, misuse or abuse of opioids?</w:t>
            </w:r>
          </w:p>
        </w:tc>
        <w:tc>
          <w:tcPr>
            <w:tcW w:w="715" w:type="dxa"/>
          </w:tcPr>
          <w:p w14:paraId="13FA5A1B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065F8020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196E332B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1AA1F697" w14:textId="29FD2681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e) Has a reduction in opioid therapy been trialled?</w:t>
            </w:r>
          </w:p>
        </w:tc>
        <w:tc>
          <w:tcPr>
            <w:tcW w:w="715" w:type="dxa"/>
          </w:tcPr>
          <w:p w14:paraId="527DBB8C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3C90C8A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4E4D8052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1D1D72C1" w14:textId="033AA82B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f) Have urine drug screens been used to investigate possible diversion, compliance, or </w:t>
            </w:r>
            <w:proofErr w:type="gram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other</w:t>
            </w:r>
            <w:proofErr w:type="gram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illicit drug use?</w:t>
            </w:r>
          </w:p>
        </w:tc>
        <w:tc>
          <w:tcPr>
            <w:tcW w:w="715" w:type="dxa"/>
          </w:tcPr>
          <w:p w14:paraId="0DC804DF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4D6F9FAD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235AFCC2" w14:textId="77777777" w:rsidTr="00D575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52AF1F92" w14:textId="23D605FF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r w:rsidRPr="00D57524">
              <w:rPr>
                <w:rFonts w:cs="Arial"/>
                <w:color w:val="auto"/>
                <w:szCs w:val="20"/>
              </w:rPr>
              <w:t>3. Additional treatment</w:t>
            </w:r>
          </w:p>
        </w:tc>
      </w:tr>
      <w:tr w:rsidR="00D57524" w14:paraId="02CB46F9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6428DB42" w14:textId="22C6B1CE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b w:val="0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a) Are non-drug therapies maximised?</w:t>
            </w:r>
          </w:p>
        </w:tc>
        <w:tc>
          <w:tcPr>
            <w:tcW w:w="715" w:type="dxa"/>
          </w:tcPr>
          <w:p w14:paraId="0E7068EB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0975AF1B" w14:textId="77777777" w:rsidR="00D57524" w:rsidRPr="00D57524" w:rsidRDefault="00D57524" w:rsidP="006D128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073A8894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0FC88D37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b) Given the clinical complexity and risk, is the current level of specialist care and</w:t>
            </w:r>
          </w:p>
          <w:p w14:paraId="1BDE3433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multidisciplinary intervention adequate and appropriate?</w:t>
            </w:r>
          </w:p>
          <w:p w14:paraId="32A90986" w14:textId="5A51071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lastRenderedPageBreak/>
              <w:t xml:space="preserve">In </w:t>
            </w:r>
            <w:proofErr w:type="gram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general</w:t>
            </w:r>
            <w:proofErr w:type="gram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the following scenarios are considered as complex and high risk by </w:t>
            </w:r>
            <w:r w:rsidR="00FE7D88">
              <w:rPr>
                <w:rFonts w:eastAsia="HelveticaNeueLTStd-Lt" w:cs="Arial"/>
                <w:b w:val="0"/>
                <w:color w:val="FF0000"/>
                <w:szCs w:val="20"/>
              </w:rPr>
              <w:t>USQ Health Service</w:t>
            </w: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, and indicated for specialist and multidisciplinary review:</w:t>
            </w:r>
          </w:p>
          <w:p w14:paraId="19DF323F" w14:textId="40ACED12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those who use two or more psychoactive drugs in combination (polydrug use) (</w:t>
            </w:r>
            <w:proofErr w:type="spellStart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eg</w:t>
            </w:r>
            <w:proofErr w:type="spellEnd"/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 xml:space="preserve"> opioid,</w:t>
            </w:r>
          </w:p>
          <w:p w14:paraId="22976930" w14:textId="7777777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benzodiazepines, antipsychotic, anti-epileptics, and depressants)</w:t>
            </w:r>
          </w:p>
          <w:p w14:paraId="25AB2929" w14:textId="3A1379DE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patients with serious mental illness comorbidities, or antipsychotic medication</w:t>
            </w:r>
          </w:p>
          <w:p w14:paraId="3256D1C0" w14:textId="13D5BD42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mixed use of opioids and illicit drugs</w:t>
            </w:r>
          </w:p>
          <w:p w14:paraId="47B99402" w14:textId="3439A7B9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mixed use of opioids and benzodiazepines</w:t>
            </w:r>
          </w:p>
          <w:p w14:paraId="356FE1BA" w14:textId="1477022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recent discharge from a correctional services facility</w:t>
            </w:r>
          </w:p>
          <w:p w14:paraId="3F24274E" w14:textId="7777777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patients discharged from other general practices due to problematic behaviour</w:t>
            </w:r>
          </w:p>
          <w:p w14:paraId="68737DE6" w14:textId="6904A357" w:rsidR="00D57524" w:rsidRPr="00D57524" w:rsidRDefault="00D57524" w:rsidP="00553E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signs of potential high-risk behaviours.</w:t>
            </w:r>
          </w:p>
        </w:tc>
        <w:tc>
          <w:tcPr>
            <w:tcW w:w="715" w:type="dxa"/>
          </w:tcPr>
          <w:p w14:paraId="31B1CB41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  <w:tc>
          <w:tcPr>
            <w:tcW w:w="655" w:type="dxa"/>
          </w:tcPr>
          <w:p w14:paraId="0CCF4945" w14:textId="77777777" w:rsidR="00D57524" w:rsidRP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</w:p>
        </w:tc>
      </w:tr>
      <w:tr w:rsidR="00D57524" w14:paraId="3450CC64" w14:textId="77777777" w:rsidTr="00D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BDD6EE" w:themeFill="accent1" w:themeFillTint="66"/>
          </w:tcPr>
          <w:p w14:paraId="0717BA40" w14:textId="014B382A" w:rsid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 w:val="28"/>
                <w:szCs w:val="28"/>
                <w:lang w:val="en-GB" w:eastAsia="en-AU"/>
              </w:rPr>
            </w:pPr>
            <w:r w:rsidRPr="00D57524">
              <w:rPr>
                <w:rFonts w:cs="Arial"/>
                <w:color w:val="auto"/>
                <w:szCs w:val="20"/>
              </w:rPr>
              <w:t>4. Compliance</w:t>
            </w:r>
          </w:p>
        </w:tc>
      </w:tr>
      <w:tr w:rsidR="00D57524" w14:paraId="14D7C90F" w14:textId="77777777" w:rsidTr="00D57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</w:tcPr>
          <w:p w14:paraId="53EC7FD4" w14:textId="77777777" w:rsidR="00D57524" w:rsidRPr="00D57524" w:rsidRDefault="00D57524" w:rsidP="00553E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HelveticaNeueLTStd-Lt" w:cs="Arial"/>
                <w:b w:val="0"/>
                <w:color w:val="auto"/>
                <w:szCs w:val="20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a) Is current opioid prescribing compliant with relevant state and territory laws and</w:t>
            </w:r>
          </w:p>
          <w:p w14:paraId="1877E8D8" w14:textId="32F0BFE8" w:rsidR="00D57524" w:rsidRPr="00D57524" w:rsidRDefault="00D57524" w:rsidP="00553E97">
            <w:pPr>
              <w:spacing w:after="0" w:line="360" w:lineRule="auto"/>
              <w:contextualSpacing/>
              <w:rPr>
                <w:rFonts w:eastAsia="Times New Roman" w:cs="Arial"/>
                <w:color w:val="0070C0"/>
                <w:szCs w:val="20"/>
                <w:lang w:val="en-GB" w:eastAsia="en-AU"/>
              </w:rPr>
            </w:pPr>
            <w:r w:rsidRPr="00D57524">
              <w:rPr>
                <w:rFonts w:eastAsia="HelveticaNeueLTStd-Lt" w:cs="Arial"/>
                <w:b w:val="0"/>
                <w:color w:val="auto"/>
                <w:szCs w:val="20"/>
              </w:rPr>
              <w:t>regulations for controlled substances?</w:t>
            </w:r>
          </w:p>
        </w:tc>
        <w:tc>
          <w:tcPr>
            <w:tcW w:w="715" w:type="dxa"/>
          </w:tcPr>
          <w:p w14:paraId="4B2C615D" w14:textId="77777777" w:rsid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 w:val="28"/>
                <w:szCs w:val="28"/>
                <w:lang w:val="en-GB" w:eastAsia="en-AU"/>
              </w:rPr>
            </w:pPr>
          </w:p>
        </w:tc>
        <w:tc>
          <w:tcPr>
            <w:tcW w:w="655" w:type="dxa"/>
          </w:tcPr>
          <w:p w14:paraId="009FFDC9" w14:textId="77777777" w:rsidR="00D57524" w:rsidRDefault="00D57524" w:rsidP="006D1284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sz w:val="28"/>
                <w:szCs w:val="28"/>
                <w:lang w:val="en-GB" w:eastAsia="en-AU"/>
              </w:rPr>
            </w:pPr>
          </w:p>
        </w:tc>
      </w:tr>
    </w:tbl>
    <w:p w14:paraId="4F529DF6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2A40FE4" w14:textId="43440200" w:rsidR="00553E97" w:rsidRDefault="00553E97" w:rsidP="00553E97">
      <w:pPr>
        <w:spacing w:after="0"/>
        <w:contextualSpacing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Answering </w:t>
      </w:r>
      <w:r w:rsidRPr="00553E97">
        <w:rPr>
          <w:rFonts w:eastAsia="Times New Roman" w:cs="Arial" w:hint="eastAsia"/>
          <w:color w:val="auto"/>
          <w:szCs w:val="20"/>
          <w:lang w:eastAsia="en-AU"/>
        </w:rPr>
        <w:t>‘</w:t>
      </w:r>
      <w:r w:rsidRPr="00553E97">
        <w:rPr>
          <w:rFonts w:eastAsia="Times New Roman" w:cs="Arial"/>
          <w:color w:val="auto"/>
          <w:szCs w:val="20"/>
          <w:lang w:eastAsia="en-AU"/>
        </w:rPr>
        <w:t>no</w:t>
      </w:r>
      <w:r w:rsidRPr="00553E97">
        <w:rPr>
          <w:rFonts w:eastAsia="Times New Roman" w:cs="Arial" w:hint="eastAsia"/>
          <w:color w:val="auto"/>
          <w:szCs w:val="20"/>
          <w:lang w:eastAsia="en-AU"/>
        </w:rPr>
        <w:t>’</w:t>
      </w:r>
      <w:r w:rsidRPr="00553E97">
        <w:rPr>
          <w:rFonts w:eastAsia="Times New Roman" w:cs="Arial"/>
          <w:color w:val="auto"/>
          <w:szCs w:val="20"/>
          <w:lang w:eastAsia="en-AU"/>
        </w:rPr>
        <w:t xml:space="preserve"> to any of the above options should prompt a consid</w:t>
      </w:r>
      <w:r>
        <w:rPr>
          <w:rFonts w:eastAsia="Times New Roman" w:cs="Arial"/>
          <w:color w:val="auto"/>
          <w:szCs w:val="20"/>
          <w:lang w:eastAsia="en-AU"/>
        </w:rPr>
        <w:t xml:space="preserve">eration to alter the management </w:t>
      </w:r>
      <w:r w:rsidRPr="00553E97">
        <w:rPr>
          <w:rFonts w:eastAsia="Times New Roman" w:cs="Arial"/>
          <w:color w:val="auto"/>
          <w:szCs w:val="20"/>
          <w:lang w:eastAsia="en-AU"/>
        </w:rPr>
        <w:t>plan.</w:t>
      </w:r>
    </w:p>
    <w:p w14:paraId="27332A39" w14:textId="77777777" w:rsidR="00553E97" w:rsidRPr="00553E97" w:rsidRDefault="00553E97" w:rsidP="00553E97">
      <w:pPr>
        <w:spacing w:after="0"/>
        <w:contextualSpacing/>
        <w:rPr>
          <w:rFonts w:eastAsia="Times New Roman" w:cs="Arial"/>
          <w:color w:val="auto"/>
          <w:szCs w:val="20"/>
          <w:lang w:eastAsia="en-AU"/>
        </w:rPr>
      </w:pPr>
    </w:p>
    <w:p w14:paraId="1B027FF3" w14:textId="77777777" w:rsidR="00553E97" w:rsidRPr="00553E97" w:rsidRDefault="00553E97" w:rsidP="00553E97">
      <w:pPr>
        <w:spacing w:after="0"/>
        <w:contextualSpacing/>
        <w:rPr>
          <w:rFonts w:eastAsia="Times New Roman" w:cs="Arial"/>
          <w:b/>
          <w:color w:val="auto"/>
          <w:szCs w:val="20"/>
          <w:lang w:eastAsia="en-AU"/>
        </w:rPr>
      </w:pPr>
      <w:r w:rsidRPr="00553E97">
        <w:rPr>
          <w:rFonts w:eastAsia="Times New Roman" w:cs="Arial"/>
          <w:b/>
          <w:color w:val="auto"/>
          <w:szCs w:val="20"/>
          <w:lang w:eastAsia="en-AU"/>
        </w:rPr>
        <w:t>Recommendations</w:t>
      </w:r>
    </w:p>
    <w:p w14:paraId="7DB5D9D8" w14:textId="77777777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Continue therapy </w:t>
      </w:r>
    </w:p>
    <w:p w14:paraId="16BE719F" w14:textId="77777777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Reduce opioid dose </w:t>
      </w:r>
    </w:p>
    <w:p w14:paraId="49F34E8A" w14:textId="23198D45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>Reduce and cease opioids</w:t>
      </w:r>
    </w:p>
    <w:p w14:paraId="132400F4" w14:textId="77777777" w:rsidR="00553E97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 xml:space="preserve">Pursue alternate therapies </w:t>
      </w:r>
    </w:p>
    <w:p w14:paraId="2F2CA1E7" w14:textId="67455918" w:rsidR="000351B1" w:rsidRPr="00553E97" w:rsidRDefault="00553E97" w:rsidP="00553E9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color w:val="auto"/>
          <w:szCs w:val="20"/>
          <w:lang w:val="en-GB" w:eastAsia="en-AU"/>
        </w:rPr>
      </w:pPr>
      <w:r w:rsidRPr="00553E97">
        <w:rPr>
          <w:rFonts w:eastAsia="Times New Roman" w:cs="Arial"/>
          <w:color w:val="auto"/>
          <w:szCs w:val="20"/>
          <w:lang w:eastAsia="en-AU"/>
        </w:rPr>
        <w:t>Suggest specialist review</w:t>
      </w:r>
    </w:p>
    <w:p w14:paraId="37E90D3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F97585B" w14:textId="2DC8F2B2" w:rsidR="000351B1" w:rsidRDefault="00D05F4A" w:rsidP="006D1284">
      <w:pPr>
        <w:spacing w:after="0"/>
        <w:contextualSpacing/>
        <w:rPr>
          <w:rFonts w:eastAsia="Times New Roman" w:cs="Arial"/>
          <w:color w:val="auto"/>
          <w:sz w:val="24"/>
          <w:szCs w:val="24"/>
          <w:lang w:val="en-GB" w:eastAsia="en-AU"/>
        </w:rPr>
      </w:pPr>
      <w:r>
        <w:rPr>
          <w:rFonts w:eastAsia="Times New Roman" w:cs="Arial"/>
          <w:color w:val="auto"/>
          <w:sz w:val="24"/>
          <w:szCs w:val="24"/>
          <w:lang w:val="en-GB" w:eastAsia="en-AU"/>
        </w:rPr>
        <w:t>Reviewing Practitioner’s stamp:</w:t>
      </w:r>
    </w:p>
    <w:p w14:paraId="14143EEF" w14:textId="67BF10F7" w:rsidR="00D05F4A" w:rsidRDefault="00D05F4A" w:rsidP="006D1284">
      <w:pPr>
        <w:spacing w:after="0"/>
        <w:contextualSpacing/>
        <w:rPr>
          <w:rFonts w:eastAsia="Times New Roman" w:cs="Arial"/>
          <w:color w:val="auto"/>
          <w:sz w:val="24"/>
          <w:szCs w:val="24"/>
          <w:lang w:val="en-GB" w:eastAsia="en-AU"/>
        </w:rPr>
      </w:pPr>
    </w:p>
    <w:p w14:paraId="27FAD223" w14:textId="5C5C4C99" w:rsidR="00D05F4A" w:rsidRDefault="00D05F4A" w:rsidP="006D1284">
      <w:pPr>
        <w:spacing w:after="0"/>
        <w:contextualSpacing/>
        <w:rPr>
          <w:rFonts w:eastAsia="Times New Roman" w:cs="Arial"/>
          <w:color w:val="auto"/>
          <w:sz w:val="24"/>
          <w:szCs w:val="24"/>
          <w:lang w:val="en-GB" w:eastAsia="en-AU"/>
        </w:rPr>
      </w:pPr>
    </w:p>
    <w:p w14:paraId="5BF37926" w14:textId="267B9267" w:rsidR="00D05F4A" w:rsidRDefault="00D05F4A" w:rsidP="006D1284">
      <w:pPr>
        <w:spacing w:after="0"/>
        <w:contextualSpacing/>
        <w:rPr>
          <w:rFonts w:eastAsia="Times New Roman" w:cs="Arial"/>
          <w:color w:val="auto"/>
          <w:sz w:val="24"/>
          <w:szCs w:val="24"/>
          <w:lang w:val="en-GB" w:eastAsia="en-AU"/>
        </w:rPr>
      </w:pPr>
    </w:p>
    <w:p w14:paraId="6DAC4CF6" w14:textId="06116784" w:rsidR="00D05F4A" w:rsidRDefault="00D05F4A" w:rsidP="006D1284">
      <w:pPr>
        <w:spacing w:after="0"/>
        <w:contextualSpacing/>
        <w:rPr>
          <w:rFonts w:eastAsia="Times New Roman" w:cs="Arial"/>
          <w:color w:val="auto"/>
          <w:sz w:val="24"/>
          <w:szCs w:val="24"/>
          <w:lang w:val="en-GB" w:eastAsia="en-AU"/>
        </w:rPr>
      </w:pPr>
    </w:p>
    <w:p w14:paraId="64BCE707" w14:textId="42381F9F" w:rsidR="00D05F4A" w:rsidRPr="00D05F4A" w:rsidRDefault="00D05F4A" w:rsidP="006D1284">
      <w:pPr>
        <w:spacing w:after="0"/>
        <w:contextualSpacing/>
        <w:rPr>
          <w:rFonts w:eastAsia="Times New Roman" w:cs="Arial"/>
          <w:color w:val="auto"/>
          <w:sz w:val="24"/>
          <w:szCs w:val="24"/>
          <w:lang w:val="en-GB" w:eastAsia="en-AU"/>
        </w:rPr>
      </w:pPr>
      <w:r>
        <w:rPr>
          <w:rFonts w:eastAsia="Times New Roman" w:cs="Arial"/>
          <w:color w:val="auto"/>
          <w:sz w:val="24"/>
          <w:szCs w:val="24"/>
          <w:lang w:val="en-GB" w:eastAsia="en-AU"/>
        </w:rPr>
        <w:t xml:space="preserve">Reviewing Practitioner’s </w:t>
      </w:r>
      <w:proofErr w:type="gramStart"/>
      <w:r>
        <w:rPr>
          <w:rFonts w:eastAsia="Times New Roman" w:cs="Arial"/>
          <w:color w:val="auto"/>
          <w:sz w:val="24"/>
          <w:szCs w:val="24"/>
          <w:lang w:val="en-GB" w:eastAsia="en-AU"/>
        </w:rPr>
        <w:t>Signature:_</w:t>
      </w:r>
      <w:proofErr w:type="gramEnd"/>
      <w:r>
        <w:rPr>
          <w:rFonts w:eastAsia="Times New Roman" w:cs="Arial"/>
          <w:color w:val="auto"/>
          <w:sz w:val="24"/>
          <w:szCs w:val="24"/>
          <w:lang w:val="en-GB" w:eastAsia="en-AU"/>
        </w:rPr>
        <w:t>_______________________ Date:__________</w:t>
      </w:r>
    </w:p>
    <w:p w14:paraId="346480AA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A80BD9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07F6127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2F2A14" w14:textId="0A45E68C" w:rsidR="000351B1" w:rsidRPr="0002280E" w:rsidRDefault="000351B1" w:rsidP="000351B1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</w:t>
      </w:r>
      <w:r w:rsidRPr="00E83AB2">
        <w:rPr>
          <w:rFonts w:cs="Arial"/>
          <w:sz w:val="16"/>
          <w:szCs w:val="16"/>
        </w:rPr>
        <w:t xml:space="preserve">Practitioners </w:t>
      </w:r>
      <w:r w:rsidR="00E83AB2" w:rsidRPr="00E83AB2">
        <w:rPr>
          <w:rFonts w:cs="Arial"/>
          <w:sz w:val="16"/>
          <w:szCs w:val="16"/>
        </w:rPr>
        <w:t>[2019</w:t>
      </w:r>
      <w:r w:rsidRPr="00E83AB2">
        <w:rPr>
          <w:rFonts w:cs="Arial"/>
          <w:sz w:val="16"/>
          <w:szCs w:val="16"/>
        </w:rPr>
        <w:t>]</w:t>
      </w:r>
    </w:p>
    <w:p w14:paraId="5A6DF71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577D3658" w14:textId="7E21DDF1" w:rsidR="000351B1" w:rsidRDefault="00D05F4A" w:rsidP="000351B1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0351B1" w:rsidRPr="000871B9">
          <w:rPr>
            <w:rFonts w:cs="Arial"/>
            <w:sz w:val="16"/>
            <w:szCs w:val="16"/>
          </w:rPr>
          <w:t>This</w:t>
        </w:r>
      </w:hyperlink>
      <w:r w:rsidR="000351B1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0351B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0351B1">
        <w:rPr>
          <w:rFonts w:cs="Arial"/>
          <w:sz w:val="16"/>
          <w:szCs w:val="16"/>
        </w:rPr>
        <w:t xml:space="preserve"> </w:t>
      </w:r>
    </w:p>
    <w:p w14:paraId="68AAD35B" w14:textId="744C55D1" w:rsidR="00062BE7" w:rsidRPr="006D1284" w:rsidRDefault="000351B1" w:rsidP="00D05F4A">
      <w:pPr>
        <w:autoSpaceDE w:val="0"/>
        <w:autoSpaceDN w:val="0"/>
        <w:adjustRightInd w:val="0"/>
        <w:spacing w:after="0" w:line="240" w:lineRule="auto"/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49E64BCC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D05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4C8A" w14:textId="5C0F327D" w:rsidR="00865FA8" w:rsidRDefault="00FE7D88">
    <w:pPr>
      <w:pStyle w:val="Header"/>
    </w:pPr>
    <w:r>
      <w:rPr>
        <w:noProof/>
        <w:sz w:val="28"/>
        <w:lang w:eastAsia="en-AU"/>
      </w:rPr>
      <w:drawing>
        <wp:anchor distT="0" distB="0" distL="114300" distR="114300" simplePos="0" relativeHeight="251659264" behindDoc="1" locked="0" layoutInCell="1" allowOverlap="1" wp14:anchorId="4E10DB7F" wp14:editId="1E8AAEF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825200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Q Agenda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95F5B"/>
    <w:multiLevelType w:val="hybridMultilevel"/>
    <w:tmpl w:val="CE5E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E87"/>
    <w:multiLevelType w:val="hybridMultilevel"/>
    <w:tmpl w:val="545E2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05CF"/>
    <w:multiLevelType w:val="hybridMultilevel"/>
    <w:tmpl w:val="7646E428"/>
    <w:lvl w:ilvl="0" w:tplc="8F6C9318">
      <w:numFmt w:val="bullet"/>
      <w:lvlText w:val="•"/>
      <w:lvlJc w:val="left"/>
      <w:pPr>
        <w:ind w:left="720" w:hanging="360"/>
      </w:pPr>
      <w:rPr>
        <w:rFonts w:ascii="HelveticaNeueLTStd-Lt" w:eastAsia="HelveticaNeueLTStd-Lt" w:hAnsiTheme="minorHAnsi" w:cs="HelveticaNeueLTStd-L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CC1"/>
    <w:multiLevelType w:val="hybridMultilevel"/>
    <w:tmpl w:val="F1062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A4949"/>
    <w:multiLevelType w:val="hybridMultilevel"/>
    <w:tmpl w:val="776CC552"/>
    <w:lvl w:ilvl="0" w:tplc="4FE8E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310E"/>
    <w:multiLevelType w:val="hybridMultilevel"/>
    <w:tmpl w:val="64628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D79CF"/>
    <w:multiLevelType w:val="hybridMultilevel"/>
    <w:tmpl w:val="A1C46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FB"/>
    <w:rsid w:val="000129E2"/>
    <w:rsid w:val="000351B1"/>
    <w:rsid w:val="00062BE7"/>
    <w:rsid w:val="000C47B4"/>
    <w:rsid w:val="00120180"/>
    <w:rsid w:val="001D0673"/>
    <w:rsid w:val="00267DDF"/>
    <w:rsid w:val="002C2095"/>
    <w:rsid w:val="002C4C1B"/>
    <w:rsid w:val="003736FB"/>
    <w:rsid w:val="003A7CE5"/>
    <w:rsid w:val="004416A5"/>
    <w:rsid w:val="00465E70"/>
    <w:rsid w:val="004A430C"/>
    <w:rsid w:val="00553E97"/>
    <w:rsid w:val="005A7623"/>
    <w:rsid w:val="005A7A80"/>
    <w:rsid w:val="005B1E07"/>
    <w:rsid w:val="006154AB"/>
    <w:rsid w:val="006B7663"/>
    <w:rsid w:val="006D1284"/>
    <w:rsid w:val="0071358B"/>
    <w:rsid w:val="00734AAB"/>
    <w:rsid w:val="008168BD"/>
    <w:rsid w:val="008509BF"/>
    <w:rsid w:val="008C7DFE"/>
    <w:rsid w:val="00907695"/>
    <w:rsid w:val="009D7FC6"/>
    <w:rsid w:val="00A4502D"/>
    <w:rsid w:val="00B353F3"/>
    <w:rsid w:val="00BF419D"/>
    <w:rsid w:val="00D05F4A"/>
    <w:rsid w:val="00D57524"/>
    <w:rsid w:val="00DA6A43"/>
    <w:rsid w:val="00E24909"/>
    <w:rsid w:val="00E5541E"/>
    <w:rsid w:val="00E83AB2"/>
    <w:rsid w:val="00E94D6E"/>
    <w:rsid w:val="00FB79CF"/>
    <w:rsid w:val="00FE4A59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43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43"/>
    <w:rPr>
      <w:rFonts w:ascii="Arial" w:hAnsi="Arial"/>
      <w:b/>
      <w:bCs/>
      <w:color w:val="282828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5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575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Skye Ruka</cp:lastModifiedBy>
  <cp:revision>2</cp:revision>
  <cp:lastPrinted>2021-08-27T05:23:00Z</cp:lastPrinted>
  <dcterms:created xsi:type="dcterms:W3CDTF">2021-09-06T03:16:00Z</dcterms:created>
  <dcterms:modified xsi:type="dcterms:W3CDTF">2021-09-06T03:16:00Z</dcterms:modified>
</cp:coreProperties>
</file>